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附件2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20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bookmarkStart w:id="0" w:name="_GoBack"/>
      <w:r>
        <w:rPr>
          <w:rStyle w:val="5"/>
          <w:rFonts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第十四届杭州师范大学大学生职业规划大赛就业赛道方案</w:t>
      </w:r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一 、比赛内容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考察学生的求职实战能力，个人发展路径与经济社会发展需要的适应度，就业能力与职业目标和岗位要求的契合度。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二、 参赛组别和对象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（一）就业赛道设5个分赛道。其中，针对企业职能岗位，设产品研发、生产服务、市场营销、通用职能分赛道（按相近行业分小组）;针对公共服务岗位，设公共服务分赛道。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（二）就业赛道参赛对象为普通本科三、四年级（部分专业五年级）学生和全体研究生。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三、 参赛材料要求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选手在大赛平台(网址：zgs.chsi.com.cn) 提交以下参赛材料：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（一）求职简历 （PDF 格式）。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（二）就业能力展示 （PPT 格式，不超过50MB; 不可加入视频）。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（三）辅助证明材料，包括实践、实习、获奖等证明材料（PDF格式，整合为单个文件，不超过50MB）。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四、 比赛环节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（一）校级复赛环节：组织专家对选手提交的参赛材料进行网上评审，确定入围校级决赛人选。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（二）校级决赛环节：就业赛道设主题陈述和综合面试环节。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1.主题陈述（7分钟）:选手陈述个人求职意向和职业准备情 况，展示通用素质与岗位能力。展示可以选用道具，仅限选手本人完成。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2.综合面试（8分钟）:评委提出真实工作场景中可能遇到的问题，选手提出解决方案；评委结合选手陈述自由提问。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75" w:beforeAutospacing="0" w:after="75" w:afterAutospacing="0" w:line="420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五、 评审标准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36870" cy="2902585"/>
            <wp:effectExtent l="0" t="0" r="11430" b="1206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6870" cy="2902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20360" cy="3280410"/>
            <wp:effectExtent l="0" t="0" r="8890" b="1524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0360" cy="3280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2Yzk0MzBhNjA4YmQwNGExMGM4NTFmODFlNzczOGIifQ=="/>
  </w:docVars>
  <w:rsids>
    <w:rsidRoot w:val="1DD75C75"/>
    <w:rsid w:val="1DD7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2023-10-24T07:58:00Z</dcterms:created>
  <dc:creator>小郁</dc:creator>
  <cp:lastModifiedBy>小郁</cp:lastModifiedBy>
  <dcterms:modified xsi:type="dcterms:W3CDTF">2023-10-24T08:21:53Z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B5F4770955CF437E9A7218A6C130E705_11</vt:lpwstr>
  </property>
</Properties>
</file>